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9CF554" w14:textId="77777777" w:rsidR="001A31D8" w:rsidRPr="00164947" w:rsidRDefault="001A31D8" w:rsidP="001A31D8">
      <w:pPr>
        <w:pStyle w:val="NoSpacing"/>
        <w:spacing w:line="480" w:lineRule="auto"/>
        <w:jc w:val="center"/>
        <w:rPr>
          <w:rFonts w:ascii="Arial" w:hAnsi="Arial" w:cs="Arial"/>
          <w:b/>
          <w:bCs/>
          <w:color w:val="000000" w:themeColor="text1"/>
          <w:sz w:val="24"/>
          <w:szCs w:val="24"/>
        </w:rPr>
      </w:pPr>
      <w:bookmarkStart w:id="0" w:name="_Hlk72847882"/>
      <w:bookmarkStart w:id="1" w:name="_GoBack"/>
      <w:bookmarkEnd w:id="0"/>
      <w:bookmarkEnd w:id="1"/>
      <w:r w:rsidRPr="00164947">
        <w:rPr>
          <w:rFonts w:ascii="Arial" w:hAnsi="Arial" w:cs="Arial"/>
          <w:b/>
          <w:bCs/>
          <w:color w:val="000000" w:themeColor="text1"/>
          <w:sz w:val="24"/>
          <w:szCs w:val="24"/>
        </w:rPr>
        <w:t xml:space="preserve">Week 2 – Assignment </w:t>
      </w:r>
    </w:p>
    <w:p w14:paraId="7129F03B" w14:textId="7B7383FC" w:rsidR="001A31D8" w:rsidRPr="00164947" w:rsidRDefault="001A31D8" w:rsidP="001A31D8">
      <w:pPr>
        <w:pStyle w:val="NoSpacing"/>
        <w:spacing w:line="480" w:lineRule="auto"/>
        <w:jc w:val="center"/>
        <w:rPr>
          <w:rFonts w:ascii="Arial" w:hAnsi="Arial" w:cs="Arial"/>
          <w:b/>
          <w:bCs/>
          <w:color w:val="000000" w:themeColor="text1"/>
          <w:sz w:val="24"/>
          <w:szCs w:val="24"/>
        </w:rPr>
      </w:pPr>
      <w:r w:rsidRPr="00164947">
        <w:rPr>
          <w:rFonts w:ascii="Arial" w:hAnsi="Arial" w:cs="Arial"/>
          <w:b/>
          <w:bCs/>
          <w:color w:val="000000" w:themeColor="text1"/>
          <w:sz w:val="24"/>
          <w:szCs w:val="24"/>
        </w:rPr>
        <w:t>Chapters 3 &amp; 4</w:t>
      </w:r>
    </w:p>
    <w:p w14:paraId="553B7F0C" w14:textId="718D847C" w:rsidR="001A31D8" w:rsidRDefault="00BB1128" w:rsidP="00164947">
      <w:pPr>
        <w:pStyle w:val="NoSpacing"/>
        <w:spacing w:line="360" w:lineRule="auto"/>
        <w:rPr>
          <w:rFonts w:ascii="Arial" w:hAnsi="Arial" w:cs="Arial"/>
          <w:i/>
          <w:iCs/>
          <w:sz w:val="24"/>
          <w:szCs w:val="24"/>
        </w:rPr>
      </w:pPr>
      <w:r w:rsidRPr="00164947">
        <w:rPr>
          <w:rFonts w:ascii="Arial" w:hAnsi="Arial" w:cs="Arial"/>
          <w:b/>
          <w:bCs/>
          <w:i/>
          <w:iCs/>
          <w:sz w:val="24"/>
          <w:szCs w:val="24"/>
        </w:rPr>
        <w:t>Instructions:</w:t>
      </w:r>
      <w:r w:rsidRPr="00164947">
        <w:rPr>
          <w:rFonts w:ascii="Arial" w:hAnsi="Arial" w:cs="Arial"/>
          <w:i/>
          <w:iCs/>
          <w:sz w:val="24"/>
          <w:szCs w:val="24"/>
        </w:rPr>
        <w:t xml:space="preserve"> </w:t>
      </w:r>
      <w:r w:rsidR="00164947" w:rsidRPr="00164947">
        <w:rPr>
          <w:rFonts w:ascii="Arial" w:hAnsi="Arial" w:cs="Arial"/>
          <w:i/>
          <w:iCs/>
          <w:sz w:val="24"/>
          <w:szCs w:val="24"/>
        </w:rPr>
        <w:t>Calculate each exercise</w:t>
      </w:r>
      <w:r w:rsidR="001A31D8" w:rsidRPr="00164947">
        <w:rPr>
          <w:rFonts w:ascii="Arial" w:hAnsi="Arial" w:cs="Arial"/>
          <w:i/>
          <w:iCs/>
          <w:sz w:val="24"/>
          <w:szCs w:val="24"/>
        </w:rPr>
        <w:t>.</w:t>
      </w:r>
      <w:r w:rsidRPr="00164947">
        <w:rPr>
          <w:rFonts w:ascii="Arial" w:hAnsi="Arial" w:cs="Arial"/>
          <w:i/>
          <w:iCs/>
          <w:sz w:val="24"/>
          <w:szCs w:val="24"/>
        </w:rPr>
        <w:t xml:space="preserve"> </w:t>
      </w:r>
      <w:r w:rsidR="00164947" w:rsidRPr="00164947">
        <w:rPr>
          <w:rFonts w:ascii="Arial" w:hAnsi="Arial" w:cs="Arial"/>
          <w:i/>
          <w:iCs/>
          <w:sz w:val="24"/>
          <w:szCs w:val="24"/>
        </w:rPr>
        <w:t xml:space="preserve">Highlight the answer and provide explanations (100 words) to each of the answers along with any relevant calculations to receive credit. Your part in completing the assignment is to demonstrate an understanding and application of the concepts covered. </w:t>
      </w:r>
    </w:p>
    <w:p w14:paraId="5D208773" w14:textId="77777777" w:rsidR="00164947" w:rsidRPr="00164947" w:rsidRDefault="00164947" w:rsidP="00164947">
      <w:pPr>
        <w:pStyle w:val="NoSpacing"/>
        <w:spacing w:line="360" w:lineRule="auto"/>
        <w:rPr>
          <w:rFonts w:ascii="Arial" w:hAnsi="Arial" w:cs="Arial"/>
          <w:i/>
          <w:iCs/>
          <w:sz w:val="24"/>
          <w:szCs w:val="24"/>
        </w:rPr>
      </w:pPr>
    </w:p>
    <w:p w14:paraId="0B5F1445" w14:textId="199B53EF" w:rsidR="001A31D8" w:rsidRPr="00164947" w:rsidRDefault="001A31D8" w:rsidP="001A31D8">
      <w:pPr>
        <w:pStyle w:val="NoSpacing"/>
        <w:numPr>
          <w:ilvl w:val="0"/>
          <w:numId w:val="1"/>
        </w:numPr>
        <w:spacing w:line="480" w:lineRule="auto"/>
        <w:rPr>
          <w:rFonts w:ascii="Arial" w:hAnsi="Arial" w:cs="Arial"/>
          <w:sz w:val="24"/>
          <w:szCs w:val="24"/>
        </w:rPr>
      </w:pPr>
      <w:r w:rsidRPr="00164947">
        <w:rPr>
          <w:rFonts w:ascii="Arial" w:hAnsi="Arial" w:cs="Arial"/>
          <w:sz w:val="24"/>
          <w:szCs w:val="24"/>
        </w:rPr>
        <w:t>A good measure of an investor’s risk exposure if she/he only holds a single asset in her portfolio is:</w:t>
      </w:r>
    </w:p>
    <w:p w14:paraId="59995968" w14:textId="77777777" w:rsidR="001A31D8" w:rsidRPr="00164947" w:rsidRDefault="001A31D8" w:rsidP="001A31D8">
      <w:pPr>
        <w:pStyle w:val="NoSpacing"/>
        <w:spacing w:line="480" w:lineRule="auto"/>
        <w:ind w:left="1440"/>
        <w:rPr>
          <w:rFonts w:ascii="Arial" w:hAnsi="Arial" w:cs="Arial"/>
          <w:sz w:val="24"/>
          <w:szCs w:val="24"/>
        </w:rPr>
      </w:pPr>
      <w:r w:rsidRPr="00164947">
        <w:rPr>
          <w:rFonts w:ascii="Arial" w:hAnsi="Arial" w:cs="Arial"/>
          <w:sz w:val="24"/>
          <w:szCs w:val="24"/>
        </w:rPr>
        <w:t>a.</w:t>
      </w:r>
      <w:r w:rsidRPr="00164947">
        <w:rPr>
          <w:rFonts w:ascii="Arial" w:hAnsi="Arial" w:cs="Arial"/>
          <w:sz w:val="24"/>
          <w:szCs w:val="24"/>
        </w:rPr>
        <w:tab/>
        <w:t>The expected value of the asset’s returns.</w:t>
      </w:r>
    </w:p>
    <w:p w14:paraId="6B07C96A" w14:textId="77777777" w:rsidR="001A31D8" w:rsidRPr="00164947" w:rsidRDefault="001A31D8" w:rsidP="001A31D8">
      <w:pPr>
        <w:pStyle w:val="NoSpacing"/>
        <w:spacing w:line="480" w:lineRule="auto"/>
        <w:ind w:left="1440"/>
        <w:rPr>
          <w:rFonts w:ascii="Arial" w:hAnsi="Arial" w:cs="Arial"/>
          <w:sz w:val="24"/>
          <w:szCs w:val="24"/>
        </w:rPr>
      </w:pPr>
      <w:r w:rsidRPr="00164947">
        <w:rPr>
          <w:rFonts w:ascii="Arial" w:hAnsi="Arial" w:cs="Arial"/>
          <w:sz w:val="24"/>
          <w:szCs w:val="24"/>
        </w:rPr>
        <w:t>b.</w:t>
      </w:r>
      <w:r w:rsidRPr="00164947">
        <w:rPr>
          <w:rFonts w:ascii="Arial" w:hAnsi="Arial" w:cs="Arial"/>
          <w:sz w:val="24"/>
          <w:szCs w:val="24"/>
        </w:rPr>
        <w:tab/>
        <w:t>The standard deviation of possible returns on the asset.</w:t>
      </w:r>
    </w:p>
    <w:p w14:paraId="24C6D129" w14:textId="77777777" w:rsidR="001A31D8" w:rsidRPr="00164947" w:rsidRDefault="001A31D8" w:rsidP="001A31D8">
      <w:pPr>
        <w:pStyle w:val="NoSpacing"/>
        <w:spacing w:line="480" w:lineRule="auto"/>
        <w:ind w:left="1440"/>
        <w:rPr>
          <w:rFonts w:ascii="Arial" w:hAnsi="Arial" w:cs="Arial"/>
          <w:sz w:val="24"/>
          <w:szCs w:val="24"/>
        </w:rPr>
      </w:pPr>
      <w:r w:rsidRPr="00164947">
        <w:rPr>
          <w:rFonts w:ascii="Arial" w:hAnsi="Arial" w:cs="Arial"/>
          <w:sz w:val="24"/>
          <w:szCs w:val="24"/>
        </w:rPr>
        <w:t>c.</w:t>
      </w:r>
      <w:r w:rsidRPr="00164947">
        <w:rPr>
          <w:rFonts w:ascii="Arial" w:hAnsi="Arial" w:cs="Arial"/>
          <w:sz w:val="24"/>
          <w:szCs w:val="24"/>
        </w:rPr>
        <w:tab/>
        <w:t>The correlation coefficient with the market portfolio.</w:t>
      </w:r>
    </w:p>
    <w:p w14:paraId="7A52C9DD" w14:textId="77777777" w:rsidR="001A31D8" w:rsidRPr="00164947" w:rsidRDefault="001A31D8" w:rsidP="001A31D8">
      <w:pPr>
        <w:pStyle w:val="NoSpacing"/>
        <w:spacing w:line="480" w:lineRule="auto"/>
        <w:ind w:left="1440"/>
        <w:rPr>
          <w:rFonts w:ascii="Arial" w:hAnsi="Arial" w:cs="Arial"/>
          <w:sz w:val="24"/>
          <w:szCs w:val="24"/>
        </w:rPr>
      </w:pPr>
      <w:r w:rsidRPr="00164947">
        <w:rPr>
          <w:rFonts w:ascii="Arial" w:hAnsi="Arial" w:cs="Arial"/>
          <w:sz w:val="24"/>
          <w:szCs w:val="24"/>
        </w:rPr>
        <w:t>d.</w:t>
      </w:r>
      <w:r w:rsidRPr="00164947">
        <w:rPr>
          <w:rFonts w:ascii="Arial" w:hAnsi="Arial" w:cs="Arial"/>
          <w:sz w:val="24"/>
          <w:szCs w:val="24"/>
        </w:rPr>
        <w:tab/>
        <w:t>The normal probability distribution function.</w:t>
      </w:r>
    </w:p>
    <w:p w14:paraId="78EFF853" w14:textId="7AABC074" w:rsidR="001A31D8" w:rsidRPr="00164947" w:rsidRDefault="001A31D8" w:rsidP="00BB1128">
      <w:pPr>
        <w:pStyle w:val="NoSpacing"/>
        <w:numPr>
          <w:ilvl w:val="0"/>
          <w:numId w:val="1"/>
        </w:numPr>
        <w:spacing w:line="480" w:lineRule="auto"/>
        <w:rPr>
          <w:rFonts w:ascii="Arial" w:hAnsi="Arial" w:cs="Arial"/>
          <w:sz w:val="24"/>
          <w:szCs w:val="24"/>
        </w:rPr>
      </w:pPr>
      <w:r w:rsidRPr="00164947">
        <w:rPr>
          <w:rFonts w:ascii="Arial" w:hAnsi="Arial" w:cs="Arial"/>
          <w:sz w:val="24"/>
          <w:szCs w:val="24"/>
        </w:rPr>
        <w:t>The beta for ABM Industries is 1.50. Assuming that the nominal risk-free rate is 6.0%</w:t>
      </w:r>
      <w:r w:rsidR="00BB1128" w:rsidRPr="00164947">
        <w:rPr>
          <w:rFonts w:ascii="Arial" w:hAnsi="Arial" w:cs="Arial"/>
          <w:sz w:val="24"/>
          <w:szCs w:val="24"/>
        </w:rPr>
        <w:t xml:space="preserve"> </w:t>
      </w:r>
      <w:r w:rsidRPr="00164947">
        <w:rPr>
          <w:rFonts w:ascii="Arial" w:hAnsi="Arial" w:cs="Arial"/>
          <w:sz w:val="24"/>
          <w:szCs w:val="24"/>
        </w:rPr>
        <w:t>and that the return to the market is 9.0%, what is ABM’s required return?</w:t>
      </w:r>
    </w:p>
    <w:p w14:paraId="2916807D" w14:textId="77777777" w:rsidR="001A31D8" w:rsidRPr="00164947" w:rsidRDefault="001A31D8" w:rsidP="001A31D8">
      <w:pPr>
        <w:pStyle w:val="NoSpacing"/>
        <w:spacing w:line="480" w:lineRule="auto"/>
        <w:ind w:left="1440"/>
        <w:rPr>
          <w:rFonts w:ascii="Arial" w:hAnsi="Arial" w:cs="Arial"/>
          <w:sz w:val="24"/>
          <w:szCs w:val="24"/>
        </w:rPr>
      </w:pPr>
      <w:r w:rsidRPr="00164947">
        <w:rPr>
          <w:rFonts w:ascii="Arial" w:hAnsi="Arial" w:cs="Arial"/>
          <w:sz w:val="24"/>
          <w:szCs w:val="24"/>
        </w:rPr>
        <w:t>a.</w:t>
      </w:r>
      <w:r w:rsidRPr="00164947">
        <w:rPr>
          <w:rFonts w:ascii="Arial" w:hAnsi="Arial" w:cs="Arial"/>
          <w:sz w:val="24"/>
          <w:szCs w:val="24"/>
        </w:rPr>
        <w:tab/>
        <w:t>7.5%</w:t>
      </w:r>
    </w:p>
    <w:p w14:paraId="5F4C0A75" w14:textId="77777777" w:rsidR="001A31D8" w:rsidRPr="00164947" w:rsidRDefault="001A31D8" w:rsidP="001A31D8">
      <w:pPr>
        <w:pStyle w:val="NoSpacing"/>
        <w:spacing w:line="480" w:lineRule="auto"/>
        <w:ind w:left="1440"/>
        <w:rPr>
          <w:rFonts w:ascii="Arial" w:hAnsi="Arial" w:cs="Arial"/>
          <w:sz w:val="24"/>
          <w:szCs w:val="24"/>
        </w:rPr>
      </w:pPr>
      <w:r w:rsidRPr="00164947">
        <w:rPr>
          <w:rFonts w:ascii="Arial" w:hAnsi="Arial" w:cs="Arial"/>
          <w:sz w:val="24"/>
          <w:szCs w:val="24"/>
        </w:rPr>
        <w:t>b.</w:t>
      </w:r>
      <w:r w:rsidRPr="00164947">
        <w:rPr>
          <w:rFonts w:ascii="Arial" w:hAnsi="Arial" w:cs="Arial"/>
          <w:sz w:val="24"/>
          <w:szCs w:val="24"/>
        </w:rPr>
        <w:tab/>
        <w:t>18.4%</w:t>
      </w:r>
    </w:p>
    <w:p w14:paraId="033A1C8C" w14:textId="77777777" w:rsidR="001A31D8" w:rsidRPr="00164947" w:rsidRDefault="001A31D8" w:rsidP="001A31D8">
      <w:pPr>
        <w:pStyle w:val="NoSpacing"/>
        <w:spacing w:line="480" w:lineRule="auto"/>
        <w:ind w:left="1440"/>
        <w:rPr>
          <w:rFonts w:ascii="Arial" w:hAnsi="Arial" w:cs="Arial"/>
          <w:sz w:val="24"/>
          <w:szCs w:val="24"/>
        </w:rPr>
      </w:pPr>
      <w:r w:rsidRPr="00164947">
        <w:rPr>
          <w:rFonts w:ascii="Arial" w:hAnsi="Arial" w:cs="Arial"/>
          <w:sz w:val="24"/>
          <w:szCs w:val="24"/>
        </w:rPr>
        <w:t>c.</w:t>
      </w:r>
      <w:r w:rsidRPr="00164947">
        <w:rPr>
          <w:rFonts w:ascii="Arial" w:hAnsi="Arial" w:cs="Arial"/>
          <w:sz w:val="24"/>
          <w:szCs w:val="24"/>
        </w:rPr>
        <w:tab/>
        <w:t>10.5%</w:t>
      </w:r>
    </w:p>
    <w:p w14:paraId="6765EBDE" w14:textId="77777777" w:rsidR="001A31D8" w:rsidRPr="00164947" w:rsidRDefault="001A31D8" w:rsidP="001A31D8">
      <w:pPr>
        <w:pStyle w:val="NoSpacing"/>
        <w:spacing w:line="480" w:lineRule="auto"/>
        <w:ind w:left="1440"/>
        <w:rPr>
          <w:rFonts w:ascii="Arial" w:hAnsi="Arial" w:cs="Arial"/>
          <w:sz w:val="24"/>
          <w:szCs w:val="24"/>
        </w:rPr>
      </w:pPr>
      <w:r w:rsidRPr="00164947">
        <w:rPr>
          <w:rFonts w:ascii="Arial" w:hAnsi="Arial" w:cs="Arial"/>
          <w:sz w:val="24"/>
          <w:szCs w:val="24"/>
        </w:rPr>
        <w:t>d.</w:t>
      </w:r>
      <w:r w:rsidRPr="00164947">
        <w:rPr>
          <w:rFonts w:ascii="Arial" w:hAnsi="Arial" w:cs="Arial"/>
          <w:sz w:val="24"/>
          <w:szCs w:val="24"/>
        </w:rPr>
        <w:tab/>
        <w:t>3.2%</w:t>
      </w:r>
    </w:p>
    <w:p w14:paraId="70B32511" w14:textId="77777777" w:rsidR="001A31D8" w:rsidRPr="00164947" w:rsidRDefault="001A31D8" w:rsidP="00BB1128">
      <w:pPr>
        <w:pStyle w:val="NoSpacing"/>
        <w:numPr>
          <w:ilvl w:val="0"/>
          <w:numId w:val="1"/>
        </w:numPr>
        <w:spacing w:line="480" w:lineRule="auto"/>
        <w:rPr>
          <w:rFonts w:ascii="Arial" w:hAnsi="Arial" w:cs="Arial"/>
          <w:sz w:val="24"/>
          <w:szCs w:val="24"/>
        </w:rPr>
      </w:pPr>
      <w:proofErr w:type="spellStart"/>
      <w:r w:rsidRPr="00164947">
        <w:rPr>
          <w:rFonts w:ascii="Arial" w:hAnsi="Arial" w:cs="Arial"/>
          <w:sz w:val="24"/>
          <w:szCs w:val="24"/>
        </w:rPr>
        <w:t>Koda’s</w:t>
      </w:r>
      <w:proofErr w:type="spellEnd"/>
      <w:r w:rsidRPr="00164947">
        <w:rPr>
          <w:rFonts w:ascii="Arial" w:hAnsi="Arial" w:cs="Arial"/>
          <w:sz w:val="24"/>
          <w:szCs w:val="24"/>
        </w:rPr>
        <w:t xml:space="preserve"> Manufacturing has a required return of 9.50%. If the market return is 13.0% and the nominal risk-free rate is 6.0%, what is </w:t>
      </w:r>
      <w:proofErr w:type="spellStart"/>
      <w:r w:rsidRPr="00164947">
        <w:rPr>
          <w:rFonts w:ascii="Arial" w:hAnsi="Arial" w:cs="Arial"/>
          <w:sz w:val="24"/>
          <w:szCs w:val="24"/>
        </w:rPr>
        <w:t>Koda’s</w:t>
      </w:r>
      <w:proofErr w:type="spellEnd"/>
      <w:r w:rsidRPr="00164947">
        <w:rPr>
          <w:rFonts w:ascii="Arial" w:hAnsi="Arial" w:cs="Arial"/>
          <w:sz w:val="24"/>
          <w:szCs w:val="24"/>
        </w:rPr>
        <w:t xml:space="preserve"> beta?</w:t>
      </w:r>
    </w:p>
    <w:p w14:paraId="23A1ECBF"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a.</w:t>
      </w:r>
      <w:r w:rsidRPr="00164947">
        <w:rPr>
          <w:rFonts w:ascii="Arial" w:hAnsi="Arial" w:cs="Arial"/>
          <w:sz w:val="24"/>
          <w:szCs w:val="24"/>
        </w:rPr>
        <w:tab/>
        <w:t>0.5%</w:t>
      </w:r>
    </w:p>
    <w:p w14:paraId="160420B3"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b.</w:t>
      </w:r>
      <w:r w:rsidRPr="00164947">
        <w:rPr>
          <w:rFonts w:ascii="Arial" w:hAnsi="Arial" w:cs="Arial"/>
          <w:sz w:val="24"/>
          <w:szCs w:val="24"/>
        </w:rPr>
        <w:tab/>
        <w:t>8.3%</w:t>
      </w:r>
    </w:p>
    <w:p w14:paraId="3767272E"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c.</w:t>
      </w:r>
      <w:r w:rsidRPr="00164947">
        <w:rPr>
          <w:rFonts w:ascii="Arial" w:hAnsi="Arial" w:cs="Arial"/>
          <w:sz w:val="24"/>
          <w:szCs w:val="24"/>
        </w:rPr>
        <w:tab/>
        <w:t>7.2%</w:t>
      </w:r>
    </w:p>
    <w:p w14:paraId="0B56D360"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d.</w:t>
      </w:r>
      <w:r w:rsidRPr="00164947">
        <w:rPr>
          <w:rFonts w:ascii="Arial" w:hAnsi="Arial" w:cs="Arial"/>
          <w:sz w:val="24"/>
          <w:szCs w:val="24"/>
        </w:rPr>
        <w:tab/>
        <w:t>2.2%</w:t>
      </w:r>
    </w:p>
    <w:p w14:paraId="2B83E7BC" w14:textId="77777777" w:rsidR="001A31D8" w:rsidRPr="00164947" w:rsidRDefault="001A31D8" w:rsidP="00BB1128">
      <w:pPr>
        <w:pStyle w:val="NoSpacing"/>
        <w:numPr>
          <w:ilvl w:val="0"/>
          <w:numId w:val="1"/>
        </w:numPr>
        <w:spacing w:line="480" w:lineRule="auto"/>
        <w:rPr>
          <w:rFonts w:ascii="Arial" w:hAnsi="Arial" w:cs="Arial"/>
          <w:sz w:val="24"/>
          <w:szCs w:val="24"/>
        </w:rPr>
      </w:pPr>
      <w:r w:rsidRPr="00164947">
        <w:rPr>
          <w:rFonts w:ascii="Arial" w:hAnsi="Arial" w:cs="Arial"/>
          <w:sz w:val="24"/>
          <w:szCs w:val="24"/>
        </w:rPr>
        <w:lastRenderedPageBreak/>
        <w:t>Which of the following items reflects the time value of money?</w:t>
      </w:r>
    </w:p>
    <w:p w14:paraId="7E5DE9F0"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a.</w:t>
      </w:r>
      <w:r w:rsidRPr="00164947">
        <w:rPr>
          <w:rFonts w:ascii="Arial" w:hAnsi="Arial" w:cs="Arial"/>
          <w:sz w:val="24"/>
          <w:szCs w:val="24"/>
        </w:rPr>
        <w:tab/>
        <w:t>Real risk-free rate.</w:t>
      </w:r>
    </w:p>
    <w:p w14:paraId="73E4A9CD"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b.</w:t>
      </w:r>
      <w:r w:rsidRPr="00164947">
        <w:rPr>
          <w:rFonts w:ascii="Arial" w:hAnsi="Arial" w:cs="Arial"/>
          <w:sz w:val="24"/>
          <w:szCs w:val="24"/>
        </w:rPr>
        <w:tab/>
        <w:t>Inflation premium.</w:t>
      </w:r>
    </w:p>
    <w:p w14:paraId="26530301"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c.</w:t>
      </w:r>
      <w:r w:rsidRPr="00164947">
        <w:rPr>
          <w:rFonts w:ascii="Arial" w:hAnsi="Arial" w:cs="Arial"/>
          <w:sz w:val="24"/>
          <w:szCs w:val="24"/>
        </w:rPr>
        <w:tab/>
        <w:t>Default risk premium.</w:t>
      </w:r>
    </w:p>
    <w:p w14:paraId="59A6F5A2"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d.</w:t>
      </w:r>
      <w:r w:rsidRPr="00164947">
        <w:rPr>
          <w:rFonts w:ascii="Arial" w:hAnsi="Arial" w:cs="Arial"/>
          <w:sz w:val="24"/>
          <w:szCs w:val="24"/>
        </w:rPr>
        <w:tab/>
        <w:t>Liquidity premium.</w:t>
      </w:r>
    </w:p>
    <w:p w14:paraId="6AE0F4D9" w14:textId="5AC46A5E" w:rsidR="001A31D8" w:rsidRPr="00164947" w:rsidRDefault="001A31D8" w:rsidP="00BB1128">
      <w:pPr>
        <w:pStyle w:val="NoSpacing"/>
        <w:spacing w:line="480" w:lineRule="auto"/>
        <w:rPr>
          <w:rFonts w:ascii="Arial" w:hAnsi="Arial" w:cs="Arial"/>
          <w:sz w:val="24"/>
          <w:szCs w:val="24"/>
        </w:rPr>
      </w:pPr>
      <w:r w:rsidRPr="00164947">
        <w:rPr>
          <w:rFonts w:ascii="Arial" w:hAnsi="Arial" w:cs="Arial"/>
          <w:sz w:val="24"/>
          <w:szCs w:val="24"/>
        </w:rPr>
        <w:t xml:space="preserve">Use the following data to answer questions </w:t>
      </w:r>
      <w:r w:rsidR="00BB1128" w:rsidRPr="00164947">
        <w:rPr>
          <w:rFonts w:ascii="Arial" w:hAnsi="Arial" w:cs="Arial"/>
          <w:sz w:val="24"/>
          <w:szCs w:val="24"/>
        </w:rPr>
        <w:t>5</w:t>
      </w:r>
      <w:r w:rsidRPr="00164947">
        <w:rPr>
          <w:rFonts w:ascii="Arial" w:hAnsi="Arial" w:cs="Arial"/>
          <w:sz w:val="24"/>
          <w:szCs w:val="24"/>
        </w:rPr>
        <w:t xml:space="preserve"> and </w:t>
      </w:r>
      <w:r w:rsidR="00BB1128" w:rsidRPr="00164947">
        <w:rPr>
          <w:rFonts w:ascii="Arial" w:hAnsi="Arial" w:cs="Arial"/>
          <w:sz w:val="24"/>
          <w:szCs w:val="24"/>
        </w:rPr>
        <w:t>6</w:t>
      </w:r>
      <w:r w:rsidRPr="00164947">
        <w:rPr>
          <w:rFonts w:ascii="Arial" w:hAnsi="Arial" w:cs="Arial"/>
          <w:sz w:val="24"/>
          <w:szCs w:val="24"/>
        </w:rPr>
        <w:t>.</w:t>
      </w:r>
      <w:r w:rsidR="00BB1128" w:rsidRPr="00164947">
        <w:rPr>
          <w:rFonts w:ascii="Arial" w:hAnsi="Arial" w:cs="Arial"/>
          <w:sz w:val="24"/>
          <w:szCs w:val="24"/>
        </w:rPr>
        <w:t xml:space="preserve"> </w:t>
      </w:r>
      <w:r w:rsidRPr="00164947">
        <w:rPr>
          <w:rFonts w:ascii="Arial" w:hAnsi="Arial" w:cs="Arial"/>
          <w:sz w:val="24"/>
          <w:szCs w:val="24"/>
        </w:rPr>
        <w:t>Assume the following premiums reflect current market conditions:</w:t>
      </w:r>
    </w:p>
    <w:p w14:paraId="531E26C9" w14:textId="1B045D1A"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r* = 3.15%;</w:t>
      </w:r>
    </w:p>
    <w:p w14:paraId="46C2D3E5" w14:textId="11747DDF"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IP (1-year bonds) = 2.35%;</w:t>
      </w:r>
    </w:p>
    <w:p w14:paraId="3B47E117" w14:textId="3D0D9C2B"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IP (3-year bonds) = 2.65%;</w:t>
      </w:r>
    </w:p>
    <w:p w14:paraId="4F931495" w14:textId="4E2CF463"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IP (5-year bonds) = 2.90%;</w:t>
      </w:r>
    </w:p>
    <w:p w14:paraId="5889812D" w14:textId="2DA860D8"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DRP (AAA corporate bonds) = 0.60%;</w:t>
      </w:r>
    </w:p>
    <w:p w14:paraId="2E2D8E84" w14:textId="2F980102"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DRP (AA+ corporate bonds) = 0.85%;</w:t>
      </w:r>
    </w:p>
    <w:p w14:paraId="24C11866" w14:textId="756B6897"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LP (AAA corporate bonds) = 0.22%;</w:t>
      </w:r>
    </w:p>
    <w:p w14:paraId="1ED1CE9C" w14:textId="349851E8"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LP (AA+ corporate bonds) = 0.30%;</w:t>
      </w:r>
    </w:p>
    <w:p w14:paraId="71EFEA12" w14:textId="528AFE3B" w:rsidR="001A31D8" w:rsidRPr="00164947" w:rsidRDefault="001A31D8" w:rsidP="00BB1128">
      <w:pPr>
        <w:pStyle w:val="NoSpacing"/>
        <w:numPr>
          <w:ilvl w:val="2"/>
          <w:numId w:val="2"/>
        </w:numPr>
        <w:spacing w:line="480" w:lineRule="auto"/>
        <w:rPr>
          <w:rFonts w:ascii="Arial" w:hAnsi="Arial" w:cs="Arial"/>
          <w:sz w:val="24"/>
          <w:szCs w:val="24"/>
        </w:rPr>
      </w:pPr>
      <w:r w:rsidRPr="00164947">
        <w:rPr>
          <w:rFonts w:ascii="Arial" w:hAnsi="Arial" w:cs="Arial"/>
          <w:sz w:val="24"/>
          <w:szCs w:val="24"/>
        </w:rPr>
        <w:t xml:space="preserve">MRP = 0.1% × (t − 1) where </w:t>
      </w:r>
      <w:proofErr w:type="spellStart"/>
      <w:r w:rsidRPr="00164947">
        <w:rPr>
          <w:rFonts w:ascii="Arial" w:hAnsi="Arial" w:cs="Arial"/>
          <w:sz w:val="24"/>
          <w:szCs w:val="24"/>
        </w:rPr>
        <w:t>t</w:t>
      </w:r>
      <w:proofErr w:type="spellEnd"/>
      <w:r w:rsidRPr="00164947">
        <w:rPr>
          <w:rFonts w:ascii="Arial" w:hAnsi="Arial" w:cs="Arial"/>
          <w:sz w:val="24"/>
          <w:szCs w:val="24"/>
        </w:rPr>
        <w:t xml:space="preserve"> is the number of years to maturity.</w:t>
      </w:r>
    </w:p>
    <w:p w14:paraId="40D30E03" w14:textId="77777777" w:rsidR="001A31D8" w:rsidRPr="00164947" w:rsidRDefault="001A31D8" w:rsidP="00BB1128">
      <w:pPr>
        <w:pStyle w:val="NoSpacing"/>
        <w:numPr>
          <w:ilvl w:val="0"/>
          <w:numId w:val="1"/>
        </w:numPr>
        <w:spacing w:line="480" w:lineRule="auto"/>
        <w:rPr>
          <w:rFonts w:ascii="Arial" w:hAnsi="Arial" w:cs="Arial"/>
          <w:sz w:val="24"/>
          <w:szCs w:val="24"/>
        </w:rPr>
      </w:pPr>
      <w:r w:rsidRPr="00164947">
        <w:rPr>
          <w:rFonts w:ascii="Arial" w:hAnsi="Arial" w:cs="Arial"/>
          <w:sz w:val="24"/>
          <w:szCs w:val="24"/>
        </w:rPr>
        <w:t>Calculate the interest rate for a 1-year AA+ corporate bond.</w:t>
      </w:r>
    </w:p>
    <w:p w14:paraId="7BCD543D"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a.</w:t>
      </w:r>
      <w:r w:rsidRPr="00164947">
        <w:rPr>
          <w:rFonts w:ascii="Arial" w:hAnsi="Arial" w:cs="Arial"/>
          <w:sz w:val="24"/>
          <w:szCs w:val="24"/>
        </w:rPr>
        <w:tab/>
        <w:t>3.52%</w:t>
      </w:r>
    </w:p>
    <w:p w14:paraId="0F25AF7C"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b.</w:t>
      </w:r>
      <w:r w:rsidRPr="00164947">
        <w:rPr>
          <w:rFonts w:ascii="Arial" w:hAnsi="Arial" w:cs="Arial"/>
          <w:sz w:val="24"/>
          <w:szCs w:val="24"/>
        </w:rPr>
        <w:tab/>
        <w:t>10.48%</w:t>
      </w:r>
    </w:p>
    <w:p w14:paraId="33C9DD52"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c.</w:t>
      </w:r>
      <w:r w:rsidRPr="00164947">
        <w:rPr>
          <w:rFonts w:ascii="Arial" w:hAnsi="Arial" w:cs="Arial"/>
          <w:sz w:val="24"/>
          <w:szCs w:val="24"/>
        </w:rPr>
        <w:tab/>
        <w:t>6.65%</w:t>
      </w:r>
    </w:p>
    <w:p w14:paraId="623C723F"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d.</w:t>
      </w:r>
      <w:r w:rsidRPr="00164947">
        <w:rPr>
          <w:rFonts w:ascii="Arial" w:hAnsi="Arial" w:cs="Arial"/>
          <w:sz w:val="24"/>
          <w:szCs w:val="24"/>
        </w:rPr>
        <w:tab/>
        <w:t>9.75%</w:t>
      </w:r>
    </w:p>
    <w:p w14:paraId="28F4E725" w14:textId="77777777" w:rsidR="001A31D8" w:rsidRPr="00164947" w:rsidRDefault="001A31D8" w:rsidP="00BB1128">
      <w:pPr>
        <w:pStyle w:val="NoSpacing"/>
        <w:numPr>
          <w:ilvl w:val="0"/>
          <w:numId w:val="1"/>
        </w:numPr>
        <w:spacing w:line="480" w:lineRule="auto"/>
        <w:rPr>
          <w:rFonts w:ascii="Arial" w:hAnsi="Arial" w:cs="Arial"/>
          <w:sz w:val="24"/>
          <w:szCs w:val="24"/>
        </w:rPr>
      </w:pPr>
      <w:r w:rsidRPr="00164947">
        <w:rPr>
          <w:rFonts w:ascii="Arial" w:hAnsi="Arial" w:cs="Arial"/>
          <w:sz w:val="24"/>
          <w:szCs w:val="24"/>
        </w:rPr>
        <w:t>Calculate the interest rate for a 5-year AA+ corporate bond.</w:t>
      </w:r>
    </w:p>
    <w:p w14:paraId="56543CF3"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a.</w:t>
      </w:r>
      <w:r w:rsidRPr="00164947">
        <w:rPr>
          <w:rFonts w:ascii="Arial" w:hAnsi="Arial" w:cs="Arial"/>
          <w:sz w:val="24"/>
          <w:szCs w:val="24"/>
        </w:rPr>
        <w:tab/>
        <w:t>3.52%</w:t>
      </w:r>
    </w:p>
    <w:p w14:paraId="78B30D31"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lastRenderedPageBreak/>
        <w:t>b.</w:t>
      </w:r>
      <w:r w:rsidRPr="00164947">
        <w:rPr>
          <w:rFonts w:ascii="Arial" w:hAnsi="Arial" w:cs="Arial"/>
          <w:sz w:val="24"/>
          <w:szCs w:val="24"/>
        </w:rPr>
        <w:tab/>
        <w:t>7.60%</w:t>
      </w:r>
    </w:p>
    <w:p w14:paraId="080E059E" w14:textId="77777777" w:rsidR="001A31D8"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c.</w:t>
      </w:r>
      <w:r w:rsidRPr="00164947">
        <w:rPr>
          <w:rFonts w:ascii="Arial" w:hAnsi="Arial" w:cs="Arial"/>
          <w:sz w:val="24"/>
          <w:szCs w:val="24"/>
        </w:rPr>
        <w:tab/>
        <w:t>5.35%</w:t>
      </w:r>
    </w:p>
    <w:p w14:paraId="59CF252D" w14:textId="15D81670" w:rsidR="00DE3A04" w:rsidRPr="00164947" w:rsidRDefault="001A31D8" w:rsidP="00BB1128">
      <w:pPr>
        <w:pStyle w:val="NoSpacing"/>
        <w:spacing w:line="480" w:lineRule="auto"/>
        <w:ind w:left="1440"/>
        <w:rPr>
          <w:rFonts w:ascii="Arial" w:hAnsi="Arial" w:cs="Arial"/>
          <w:sz w:val="24"/>
          <w:szCs w:val="24"/>
        </w:rPr>
      </w:pPr>
      <w:r w:rsidRPr="00164947">
        <w:rPr>
          <w:rFonts w:ascii="Arial" w:hAnsi="Arial" w:cs="Arial"/>
          <w:sz w:val="24"/>
          <w:szCs w:val="24"/>
        </w:rPr>
        <w:t>d.</w:t>
      </w:r>
      <w:r w:rsidRPr="00164947">
        <w:rPr>
          <w:rFonts w:ascii="Arial" w:hAnsi="Arial" w:cs="Arial"/>
          <w:sz w:val="24"/>
          <w:szCs w:val="24"/>
        </w:rPr>
        <w:tab/>
        <w:t>2.75%</w:t>
      </w:r>
    </w:p>
    <w:sectPr w:rsidR="00DE3A04" w:rsidRPr="00164947" w:rsidSect="00F71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46B3"/>
    <w:multiLevelType w:val="hybridMultilevel"/>
    <w:tmpl w:val="13563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670B3"/>
    <w:multiLevelType w:val="hybridMultilevel"/>
    <w:tmpl w:val="A656C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1D8"/>
    <w:rsid w:val="0012188F"/>
    <w:rsid w:val="00164947"/>
    <w:rsid w:val="001A31D8"/>
    <w:rsid w:val="005D7EDD"/>
    <w:rsid w:val="008A262E"/>
    <w:rsid w:val="009733AB"/>
    <w:rsid w:val="00BB1128"/>
    <w:rsid w:val="00DE3A04"/>
    <w:rsid w:val="00F71BD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E76D5"/>
  <w15:chartTrackingRefBased/>
  <w15:docId w15:val="{B8C90CBA-444B-DC43-BC21-1B11355E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A31D8"/>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31D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265</Words>
  <Characters>1514</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Roman</dc:creator>
  <cp:keywords/>
  <dc:description/>
  <cp:lastModifiedBy>Marshaee Knowles</cp:lastModifiedBy>
  <cp:revision>2</cp:revision>
  <dcterms:created xsi:type="dcterms:W3CDTF">2022-11-19T11:14:00Z</dcterms:created>
  <dcterms:modified xsi:type="dcterms:W3CDTF">2022-11-19T11:14:00Z</dcterms:modified>
</cp:coreProperties>
</file>